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55F" w:rsidRDefault="00BC055F">
      <w:pPr>
        <w:pStyle w:val="BodyText"/>
        <w:spacing w:before="10"/>
        <w:rPr>
          <w:rFonts w:ascii="Times New Roman"/>
          <w:sz w:val="28"/>
        </w:rPr>
      </w:pPr>
    </w:p>
    <w:p w:rsidR="00BC055F" w:rsidRDefault="00F02C5C">
      <w:pPr>
        <w:spacing w:before="90"/>
        <w:ind w:left="3985" w:right="4092"/>
        <w:jc w:val="center"/>
        <w:rPr>
          <w:b/>
          <w:sz w:val="31"/>
        </w:rPr>
      </w:pPr>
      <w:r>
        <w:rPr>
          <w:b/>
          <w:color w:val="08050A"/>
          <w:sz w:val="31"/>
        </w:rPr>
        <w:t>DISCLOSURES:</w:t>
      </w:r>
    </w:p>
    <w:p w:rsidR="00BC055F" w:rsidRDefault="00BC055F">
      <w:pPr>
        <w:pStyle w:val="BodyText"/>
        <w:spacing w:before="5"/>
        <w:rPr>
          <w:b/>
          <w:sz w:val="17"/>
        </w:rPr>
      </w:pPr>
    </w:p>
    <w:p w:rsidR="00BC055F" w:rsidRDefault="00F02C5C">
      <w:pPr>
        <w:spacing w:before="94"/>
        <w:ind w:left="110"/>
        <w:rPr>
          <w:sz w:val="20"/>
        </w:rPr>
      </w:pPr>
      <w:r>
        <w:rPr>
          <w:b/>
          <w:color w:val="08050A"/>
          <w:sz w:val="19"/>
        </w:rPr>
        <w:t xml:space="preserve">File No. </w:t>
      </w:r>
    </w:p>
    <w:p w:rsidR="00BC055F" w:rsidRDefault="00BC055F">
      <w:pPr>
        <w:pStyle w:val="BodyText"/>
        <w:spacing w:before="3"/>
        <w:rPr>
          <w:sz w:val="24"/>
        </w:rPr>
      </w:pPr>
    </w:p>
    <w:p w:rsidR="00BC055F" w:rsidRDefault="00F02C5C">
      <w:pPr>
        <w:pStyle w:val="ListParagraph"/>
        <w:numPr>
          <w:ilvl w:val="0"/>
          <w:numId w:val="1"/>
        </w:numPr>
        <w:tabs>
          <w:tab w:val="left" w:pos="470"/>
        </w:tabs>
        <w:spacing w:before="1"/>
        <w:ind w:hanging="357"/>
        <w:jc w:val="both"/>
        <w:rPr>
          <w:sz w:val="20"/>
        </w:rPr>
      </w:pPr>
      <w:r>
        <w:rPr>
          <w:color w:val="08050A"/>
          <w:sz w:val="20"/>
        </w:rPr>
        <w:t>Pursuant to C.R.S. 30-10-406(3)(a), all documents received for recording or filing in the Clerk and Recorder'</w:t>
      </w:r>
      <w:r>
        <w:rPr>
          <w:color w:val="08050A"/>
          <w:sz w:val="20"/>
        </w:rPr>
        <w:t>s office shall contain a top margin of at least one inch and a left, right and bottom margin of at least one-half of an inch</w:t>
      </w:r>
      <w:r>
        <w:rPr>
          <w:color w:val="464446"/>
          <w:sz w:val="20"/>
        </w:rPr>
        <w:t xml:space="preserve">. </w:t>
      </w:r>
      <w:r>
        <w:rPr>
          <w:color w:val="08050A"/>
          <w:sz w:val="20"/>
        </w:rPr>
        <w:t>The Clerk and Recorder will refuse to record or file any document that does not conform to the requirements of this</w:t>
      </w:r>
      <w:r>
        <w:rPr>
          <w:color w:val="08050A"/>
          <w:spacing w:val="11"/>
          <w:sz w:val="20"/>
        </w:rPr>
        <w:t xml:space="preserve"> </w:t>
      </w:r>
      <w:r>
        <w:rPr>
          <w:color w:val="08050A"/>
          <w:sz w:val="20"/>
        </w:rPr>
        <w:t>section.</w:t>
      </w:r>
    </w:p>
    <w:p w:rsidR="00BC055F" w:rsidRDefault="00BC055F">
      <w:pPr>
        <w:pStyle w:val="BodyText"/>
        <w:spacing w:before="7"/>
      </w:pPr>
    </w:p>
    <w:p w:rsidR="00BC055F" w:rsidRDefault="00F02C5C">
      <w:pPr>
        <w:pStyle w:val="ListParagraph"/>
        <w:numPr>
          <w:ilvl w:val="0"/>
          <w:numId w:val="1"/>
        </w:numPr>
        <w:tabs>
          <w:tab w:val="left" w:pos="471"/>
        </w:tabs>
        <w:spacing w:line="235" w:lineRule="auto"/>
        <w:ind w:left="474" w:right="119" w:hanging="366"/>
        <w:jc w:val="both"/>
        <w:rPr>
          <w:sz w:val="20"/>
        </w:rPr>
      </w:pPr>
      <w:r>
        <w:rPr>
          <w:color w:val="08050A"/>
          <w:sz w:val="20"/>
        </w:rPr>
        <w:t>If t</w:t>
      </w:r>
      <w:r>
        <w:rPr>
          <w:color w:val="08050A"/>
          <w:sz w:val="20"/>
        </w:rPr>
        <w:t>his transaction includes a sale of the property and the price exceeds $100,000.00, the seller must comply with the disclosure/withholding provisions of C.R.S. 39-22-604.5 (Nonresident</w:t>
      </w:r>
      <w:r>
        <w:rPr>
          <w:color w:val="08050A"/>
          <w:spacing w:val="16"/>
          <w:sz w:val="20"/>
        </w:rPr>
        <w:t xml:space="preserve"> </w:t>
      </w:r>
      <w:r>
        <w:rPr>
          <w:color w:val="08050A"/>
          <w:sz w:val="20"/>
        </w:rPr>
        <w:t>withholding).</w:t>
      </w:r>
    </w:p>
    <w:p w:rsidR="00BC055F" w:rsidRDefault="00BC055F">
      <w:pPr>
        <w:pStyle w:val="BodyText"/>
        <w:spacing w:before="2"/>
      </w:pPr>
    </w:p>
    <w:p w:rsidR="00BC055F" w:rsidRDefault="00F02C5C">
      <w:pPr>
        <w:pStyle w:val="ListParagraph"/>
        <w:numPr>
          <w:ilvl w:val="0"/>
          <w:numId w:val="1"/>
        </w:numPr>
        <w:tabs>
          <w:tab w:val="left" w:pos="470"/>
        </w:tabs>
        <w:spacing w:before="1"/>
        <w:ind w:right="105"/>
        <w:jc w:val="both"/>
        <w:rPr>
          <w:sz w:val="20"/>
        </w:rPr>
      </w:pPr>
      <w:r>
        <w:rPr>
          <w:color w:val="08050A"/>
          <w:sz w:val="20"/>
        </w:rPr>
        <w:t xml:space="preserve">Colorado Division of Insurance Regulation 8-1-2 requires </w:t>
      </w:r>
      <w:r>
        <w:rPr>
          <w:color w:val="08050A"/>
          <w:sz w:val="20"/>
        </w:rPr>
        <w:t>that "Every title insurance company shall be responsible to the proposed insured(s) subject to the terms and conditions of the title commitment, other than the effective date of the title commitment, for all matters which appear of record prior to the time</w:t>
      </w:r>
      <w:r>
        <w:rPr>
          <w:color w:val="08050A"/>
          <w:sz w:val="20"/>
        </w:rPr>
        <w:t xml:space="preserve"> of recording whenever the title insurance company, or its agent, conducts the closing and settlement service that </w:t>
      </w:r>
      <w:r>
        <w:rPr>
          <w:color w:val="1A181D"/>
          <w:sz w:val="20"/>
        </w:rPr>
        <w:t xml:space="preserve">is </w:t>
      </w:r>
      <w:r>
        <w:rPr>
          <w:color w:val="08050A"/>
          <w:sz w:val="20"/>
        </w:rPr>
        <w:t>in conjunction with its issuance of an owner</w:t>
      </w:r>
      <w:r>
        <w:rPr>
          <w:color w:val="313133"/>
          <w:sz w:val="20"/>
        </w:rPr>
        <w:t>'</w:t>
      </w:r>
      <w:r>
        <w:rPr>
          <w:color w:val="08050A"/>
          <w:sz w:val="20"/>
        </w:rPr>
        <w:t xml:space="preserve">s policy of title insurance and is responsible for the recording </w:t>
      </w:r>
      <w:r>
        <w:rPr>
          <w:color w:val="08050A"/>
          <w:sz w:val="20"/>
        </w:rPr>
        <w:t>and filing of legal documen</w:t>
      </w:r>
      <w:r>
        <w:rPr>
          <w:color w:val="08050A"/>
          <w:sz w:val="20"/>
        </w:rPr>
        <w:t>ts resulting from the transaction which was</w:t>
      </w:r>
      <w:r>
        <w:rPr>
          <w:color w:val="08050A"/>
          <w:spacing w:val="-13"/>
          <w:sz w:val="20"/>
        </w:rPr>
        <w:t xml:space="preserve"> </w:t>
      </w:r>
      <w:r>
        <w:rPr>
          <w:color w:val="08050A"/>
          <w:spacing w:val="-4"/>
          <w:sz w:val="20"/>
        </w:rPr>
        <w:t>closed</w:t>
      </w:r>
      <w:r>
        <w:rPr>
          <w:color w:val="313133"/>
          <w:spacing w:val="-4"/>
          <w:sz w:val="20"/>
        </w:rPr>
        <w:t>.</w:t>
      </w:r>
    </w:p>
    <w:p w:rsidR="00BC055F" w:rsidRDefault="00BC055F">
      <w:pPr>
        <w:pStyle w:val="BodyText"/>
        <w:spacing w:before="11"/>
        <w:rPr>
          <w:sz w:val="19"/>
        </w:rPr>
      </w:pPr>
    </w:p>
    <w:p w:rsidR="00BC055F" w:rsidRDefault="00F02C5C">
      <w:pPr>
        <w:pStyle w:val="ListParagraph"/>
        <w:numPr>
          <w:ilvl w:val="0"/>
          <w:numId w:val="1"/>
        </w:numPr>
        <w:tabs>
          <w:tab w:val="left" w:pos="470"/>
        </w:tabs>
        <w:ind w:right="115" w:hanging="357"/>
        <w:jc w:val="both"/>
        <w:rPr>
          <w:sz w:val="20"/>
        </w:rPr>
      </w:pPr>
      <w:r>
        <w:rPr>
          <w:color w:val="08050A"/>
          <w:sz w:val="20"/>
        </w:rPr>
        <w:t xml:space="preserve">Pursuant to C.R.S. 10-11-122, the company will </w:t>
      </w:r>
      <w:r>
        <w:rPr>
          <w:color w:val="1A181D"/>
          <w:sz w:val="20"/>
        </w:rPr>
        <w:t xml:space="preserve">not </w:t>
      </w:r>
      <w:r>
        <w:rPr>
          <w:color w:val="08050A"/>
          <w:sz w:val="20"/>
        </w:rPr>
        <w:t>issue its owner's policy or owner's policies of title insurance contemplated by this commitment until it has been provided a Certificate of Taxes due or</w:t>
      </w:r>
      <w:r>
        <w:rPr>
          <w:color w:val="08050A"/>
          <w:sz w:val="20"/>
        </w:rPr>
        <w:t xml:space="preserve"> other equivalent documentation from the County Treasurer or the County Treasurer's authorized agent; or until the Proposed Insured has notified or instructed the company in writing to the</w:t>
      </w:r>
      <w:r>
        <w:rPr>
          <w:color w:val="08050A"/>
          <w:spacing w:val="21"/>
          <w:sz w:val="20"/>
        </w:rPr>
        <w:t xml:space="preserve"> </w:t>
      </w:r>
      <w:r>
        <w:rPr>
          <w:color w:val="08050A"/>
          <w:sz w:val="20"/>
        </w:rPr>
        <w:t>contrary</w:t>
      </w:r>
      <w:r>
        <w:rPr>
          <w:color w:val="464446"/>
          <w:sz w:val="20"/>
        </w:rPr>
        <w:t>.</w:t>
      </w:r>
    </w:p>
    <w:p w:rsidR="00BC055F" w:rsidRDefault="00BC055F">
      <w:pPr>
        <w:pStyle w:val="BodyText"/>
        <w:spacing w:before="3"/>
      </w:pPr>
    </w:p>
    <w:p w:rsidR="00BC055F" w:rsidRDefault="00F02C5C">
      <w:pPr>
        <w:pStyle w:val="BodyText"/>
        <w:spacing w:before="1"/>
        <w:ind w:left="469" w:right="108"/>
        <w:jc w:val="both"/>
      </w:pPr>
      <w:r>
        <w:rPr>
          <w:color w:val="08050A"/>
        </w:rPr>
        <w:t>The subject real property may be located in a special taxing district. A Certificate of Taxes due listing each taxing jurisdiction shall be obtained from the County Treasurer or the County Treasurer's authorized agent. Information regarding special distric</w:t>
      </w:r>
      <w:r>
        <w:rPr>
          <w:color w:val="08050A"/>
        </w:rPr>
        <w:t>ts and the boundaries of such districts may be obtained from the Board of County Commissioners, the County Clerk and Recorder, or the County Assessor.</w:t>
      </w:r>
    </w:p>
    <w:p w:rsidR="00BC055F" w:rsidRDefault="00BC055F">
      <w:pPr>
        <w:pStyle w:val="BodyText"/>
        <w:spacing w:before="3"/>
      </w:pPr>
    </w:p>
    <w:p w:rsidR="00BC055F" w:rsidRDefault="00F02C5C">
      <w:pPr>
        <w:pStyle w:val="ListParagraph"/>
        <w:numPr>
          <w:ilvl w:val="0"/>
          <w:numId w:val="1"/>
        </w:numPr>
        <w:tabs>
          <w:tab w:val="left" w:pos="470"/>
        </w:tabs>
        <w:ind w:left="469" w:right="0" w:hanging="360"/>
        <w:rPr>
          <w:sz w:val="20"/>
        </w:rPr>
      </w:pPr>
      <w:r>
        <w:rPr>
          <w:color w:val="08050A"/>
          <w:sz w:val="20"/>
        </w:rPr>
        <w:t>Pursuant to C.R.S. 10-11-123, notice is hereby</w:t>
      </w:r>
      <w:r>
        <w:rPr>
          <w:color w:val="08050A"/>
          <w:spacing w:val="30"/>
          <w:sz w:val="20"/>
        </w:rPr>
        <w:t xml:space="preserve"> </w:t>
      </w:r>
      <w:r>
        <w:rPr>
          <w:color w:val="08050A"/>
          <w:sz w:val="20"/>
        </w:rPr>
        <w:t>given:</w:t>
      </w:r>
    </w:p>
    <w:p w:rsidR="00BC055F" w:rsidRDefault="00BC055F">
      <w:pPr>
        <w:pStyle w:val="BodyText"/>
        <w:spacing w:before="1"/>
      </w:pPr>
    </w:p>
    <w:p w:rsidR="00BC055F" w:rsidRDefault="00F02C5C">
      <w:pPr>
        <w:pStyle w:val="BodyText"/>
        <w:spacing w:before="1"/>
        <w:ind w:left="472" w:right="110" w:hanging="2"/>
        <w:jc w:val="both"/>
      </w:pPr>
      <w:r>
        <w:rPr>
          <w:color w:val="08050A"/>
        </w:rPr>
        <w:t>This notice applies to owner'</w:t>
      </w:r>
      <w:r>
        <w:rPr>
          <w:color w:val="08050A"/>
        </w:rPr>
        <w:t>s policy commitments containing a mineral severance instrument exception, or exceptions, in Schedule B, Section 2.</w:t>
      </w:r>
    </w:p>
    <w:p w:rsidR="00BC055F" w:rsidRDefault="00BC055F">
      <w:pPr>
        <w:pStyle w:val="BodyText"/>
        <w:spacing w:before="8"/>
        <w:rPr>
          <w:sz w:val="19"/>
        </w:rPr>
      </w:pPr>
    </w:p>
    <w:p w:rsidR="00BC055F" w:rsidRDefault="00F02C5C">
      <w:pPr>
        <w:pStyle w:val="ListParagraph"/>
        <w:numPr>
          <w:ilvl w:val="1"/>
          <w:numId w:val="1"/>
        </w:numPr>
        <w:tabs>
          <w:tab w:val="left" w:pos="831"/>
        </w:tabs>
        <w:ind w:left="828" w:right="115" w:hanging="361"/>
        <w:jc w:val="both"/>
        <w:rPr>
          <w:rFonts w:ascii="Times New Roman"/>
          <w:color w:val="08050A"/>
          <w:sz w:val="20"/>
        </w:rPr>
      </w:pPr>
      <w:r>
        <w:rPr>
          <w:color w:val="08050A"/>
          <w:sz w:val="20"/>
        </w:rPr>
        <w:t>That there is recorded evidence that a mineral estate has been severed, leased, or otherwise conveyed from the surface estate and that there</w:t>
      </w:r>
      <w:r>
        <w:rPr>
          <w:color w:val="08050A"/>
          <w:sz w:val="20"/>
        </w:rPr>
        <w:t xml:space="preserve"> is a substantial likelihood that a third party holds some or all interest in oil, gas, other minerals, or geothermal energy in the property;</w:t>
      </w:r>
      <w:r>
        <w:rPr>
          <w:color w:val="08050A"/>
          <w:spacing w:val="21"/>
          <w:sz w:val="20"/>
        </w:rPr>
        <w:t xml:space="preserve"> </w:t>
      </w:r>
      <w:r>
        <w:rPr>
          <w:color w:val="08050A"/>
          <w:sz w:val="20"/>
        </w:rPr>
        <w:t>and</w:t>
      </w:r>
    </w:p>
    <w:p w:rsidR="00BC055F" w:rsidRDefault="00BC055F">
      <w:pPr>
        <w:pStyle w:val="BodyText"/>
        <w:spacing w:before="2"/>
      </w:pPr>
    </w:p>
    <w:p w:rsidR="00BC055F" w:rsidRDefault="00F02C5C">
      <w:pPr>
        <w:pStyle w:val="ListParagraph"/>
        <w:numPr>
          <w:ilvl w:val="1"/>
          <w:numId w:val="1"/>
        </w:numPr>
        <w:tabs>
          <w:tab w:val="left" w:pos="831"/>
        </w:tabs>
        <w:ind w:left="831" w:right="115" w:hanging="362"/>
        <w:jc w:val="both"/>
        <w:rPr>
          <w:color w:val="08050A"/>
          <w:sz w:val="20"/>
        </w:rPr>
      </w:pPr>
      <w:r>
        <w:rPr>
          <w:color w:val="08050A"/>
          <w:sz w:val="20"/>
        </w:rPr>
        <w:t xml:space="preserve">That such mineral estate may include the right to enter and use the property without the surface owner's </w:t>
      </w:r>
      <w:r>
        <w:rPr>
          <w:color w:val="08050A"/>
          <w:spacing w:val="-6"/>
          <w:sz w:val="20"/>
        </w:rPr>
        <w:t>perm</w:t>
      </w:r>
      <w:r>
        <w:rPr>
          <w:color w:val="08050A"/>
          <w:spacing w:val="-6"/>
          <w:sz w:val="20"/>
        </w:rPr>
        <w:t>ission</w:t>
      </w:r>
      <w:r>
        <w:rPr>
          <w:color w:val="464446"/>
          <w:spacing w:val="-6"/>
          <w:sz w:val="20"/>
        </w:rPr>
        <w:t>.</w:t>
      </w:r>
    </w:p>
    <w:p w:rsidR="00BC055F" w:rsidRDefault="00BC055F">
      <w:pPr>
        <w:pStyle w:val="BodyText"/>
        <w:spacing w:before="2"/>
      </w:pPr>
    </w:p>
    <w:p w:rsidR="00BC055F" w:rsidRDefault="00F02C5C">
      <w:pPr>
        <w:pStyle w:val="ListParagraph"/>
        <w:numPr>
          <w:ilvl w:val="0"/>
          <w:numId w:val="1"/>
        </w:numPr>
        <w:tabs>
          <w:tab w:val="left" w:pos="470"/>
        </w:tabs>
        <w:ind w:right="110" w:hanging="357"/>
        <w:jc w:val="both"/>
        <w:rPr>
          <w:sz w:val="20"/>
        </w:rPr>
      </w:pPr>
      <w:r>
        <w:rPr>
          <w:color w:val="08050A"/>
          <w:sz w:val="20"/>
        </w:rPr>
        <w:t>Pursuant to Colorado Division of Insurance Regulation 8-1-1, affirmative mechanic's lien protection for the Owner may be available (typically by deletion of Exception No. 4 of Schedule B, Section 2 of the Commitment from the Owner's Policy to be i</w:t>
      </w:r>
      <w:r>
        <w:rPr>
          <w:color w:val="08050A"/>
          <w:sz w:val="20"/>
        </w:rPr>
        <w:t>ssued) upon compliance with the following</w:t>
      </w:r>
      <w:r>
        <w:rPr>
          <w:color w:val="08050A"/>
          <w:spacing w:val="35"/>
          <w:sz w:val="20"/>
        </w:rPr>
        <w:t xml:space="preserve"> </w:t>
      </w:r>
      <w:r>
        <w:rPr>
          <w:color w:val="08050A"/>
          <w:sz w:val="20"/>
        </w:rPr>
        <w:t>conditions:</w:t>
      </w:r>
    </w:p>
    <w:p w:rsidR="00BC055F" w:rsidRDefault="00BC055F">
      <w:pPr>
        <w:pStyle w:val="BodyText"/>
        <w:spacing w:before="10"/>
        <w:rPr>
          <w:sz w:val="19"/>
        </w:rPr>
      </w:pPr>
    </w:p>
    <w:p w:rsidR="00BC055F" w:rsidRDefault="00F02C5C">
      <w:pPr>
        <w:pStyle w:val="ListParagraph"/>
        <w:numPr>
          <w:ilvl w:val="1"/>
          <w:numId w:val="1"/>
        </w:numPr>
        <w:tabs>
          <w:tab w:val="left" w:pos="831"/>
        </w:tabs>
        <w:ind w:right="106" w:hanging="364"/>
        <w:jc w:val="both"/>
        <w:rPr>
          <w:rFonts w:ascii="Times New Roman"/>
          <w:color w:val="08050A"/>
          <w:sz w:val="20"/>
        </w:rPr>
      </w:pPr>
      <w:r>
        <w:rPr>
          <w:color w:val="08050A"/>
          <w:sz w:val="20"/>
        </w:rPr>
        <w:t xml:space="preserve">The land described </w:t>
      </w:r>
      <w:r>
        <w:rPr>
          <w:color w:val="1A181D"/>
          <w:sz w:val="20"/>
        </w:rPr>
        <w:t xml:space="preserve">in </w:t>
      </w:r>
      <w:r>
        <w:rPr>
          <w:color w:val="08050A"/>
          <w:sz w:val="20"/>
        </w:rPr>
        <w:t>Schedule A of this commitment must be a single family residence which includes a condominium or townhouse</w:t>
      </w:r>
      <w:r>
        <w:rPr>
          <w:color w:val="08050A"/>
          <w:spacing w:val="-15"/>
          <w:sz w:val="20"/>
        </w:rPr>
        <w:t xml:space="preserve"> </w:t>
      </w:r>
      <w:r>
        <w:rPr>
          <w:color w:val="08050A"/>
          <w:sz w:val="20"/>
        </w:rPr>
        <w:t>unit.</w:t>
      </w:r>
    </w:p>
    <w:p w:rsidR="00BC055F" w:rsidRDefault="00BC055F">
      <w:pPr>
        <w:pStyle w:val="BodyText"/>
        <w:spacing w:before="1"/>
      </w:pPr>
    </w:p>
    <w:p w:rsidR="00BC055F" w:rsidRDefault="00F02C5C">
      <w:pPr>
        <w:pStyle w:val="ListParagraph"/>
        <w:numPr>
          <w:ilvl w:val="1"/>
          <w:numId w:val="1"/>
        </w:numPr>
        <w:tabs>
          <w:tab w:val="left" w:pos="830"/>
        </w:tabs>
        <w:ind w:right="108"/>
        <w:jc w:val="both"/>
        <w:rPr>
          <w:color w:val="08050A"/>
          <w:sz w:val="20"/>
        </w:rPr>
      </w:pPr>
      <w:r>
        <w:rPr>
          <w:color w:val="08050A"/>
          <w:sz w:val="20"/>
        </w:rPr>
        <w:t>No labor or materials have been furnished by mechanics or material-men for purposes of construction on the land described in Schedule A of this Commitment within the past 6</w:t>
      </w:r>
      <w:r>
        <w:rPr>
          <w:color w:val="08050A"/>
          <w:spacing w:val="-31"/>
          <w:sz w:val="20"/>
        </w:rPr>
        <w:t xml:space="preserve"> </w:t>
      </w:r>
      <w:r>
        <w:rPr>
          <w:color w:val="08050A"/>
          <w:sz w:val="20"/>
        </w:rPr>
        <w:t>months.</w:t>
      </w:r>
    </w:p>
    <w:p w:rsidR="00BC055F" w:rsidRDefault="00BC055F">
      <w:pPr>
        <w:pStyle w:val="BodyText"/>
        <w:spacing w:before="2"/>
      </w:pPr>
    </w:p>
    <w:p w:rsidR="00BC055F" w:rsidRDefault="00F02C5C">
      <w:pPr>
        <w:pStyle w:val="ListParagraph"/>
        <w:numPr>
          <w:ilvl w:val="1"/>
          <w:numId w:val="1"/>
        </w:numPr>
        <w:tabs>
          <w:tab w:val="left" w:pos="831"/>
        </w:tabs>
        <w:ind w:left="828" w:right="126" w:hanging="359"/>
        <w:jc w:val="both"/>
        <w:rPr>
          <w:color w:val="08050A"/>
          <w:sz w:val="20"/>
        </w:rPr>
      </w:pPr>
      <w:r>
        <w:rPr>
          <w:color w:val="08050A"/>
          <w:sz w:val="20"/>
        </w:rPr>
        <w:t>The Company must receive an appropriate affidavit indemnifying the Company</w:t>
      </w:r>
      <w:r>
        <w:rPr>
          <w:color w:val="08050A"/>
          <w:sz w:val="20"/>
        </w:rPr>
        <w:t xml:space="preserve"> against untiled mechanic's and material-men's</w:t>
      </w:r>
      <w:r>
        <w:rPr>
          <w:color w:val="08050A"/>
          <w:spacing w:val="-16"/>
          <w:sz w:val="20"/>
        </w:rPr>
        <w:t xml:space="preserve"> </w:t>
      </w:r>
      <w:r>
        <w:rPr>
          <w:color w:val="08050A"/>
          <w:sz w:val="20"/>
        </w:rPr>
        <w:t>liens.</w:t>
      </w:r>
    </w:p>
    <w:p w:rsidR="00BC055F" w:rsidRDefault="00BC055F">
      <w:pPr>
        <w:pStyle w:val="BodyText"/>
        <w:spacing w:before="2"/>
      </w:pPr>
    </w:p>
    <w:p w:rsidR="00BC055F" w:rsidRDefault="00F02C5C">
      <w:pPr>
        <w:pStyle w:val="ListParagraph"/>
        <w:numPr>
          <w:ilvl w:val="1"/>
          <w:numId w:val="1"/>
        </w:numPr>
        <w:tabs>
          <w:tab w:val="left" w:pos="831"/>
        </w:tabs>
        <w:ind w:left="830" w:right="0" w:hanging="362"/>
        <w:rPr>
          <w:color w:val="08050A"/>
          <w:sz w:val="20"/>
        </w:rPr>
      </w:pPr>
      <w:r>
        <w:rPr>
          <w:color w:val="08050A"/>
          <w:sz w:val="20"/>
        </w:rPr>
        <w:t>The Company must receive payment of the appropriate</w:t>
      </w:r>
      <w:r>
        <w:rPr>
          <w:color w:val="08050A"/>
          <w:spacing w:val="53"/>
          <w:sz w:val="20"/>
        </w:rPr>
        <w:t xml:space="preserve"> </w:t>
      </w:r>
      <w:r>
        <w:rPr>
          <w:color w:val="08050A"/>
          <w:spacing w:val="-6"/>
          <w:sz w:val="20"/>
        </w:rPr>
        <w:t>premium</w:t>
      </w:r>
      <w:r>
        <w:rPr>
          <w:color w:val="313133"/>
          <w:spacing w:val="-6"/>
          <w:sz w:val="20"/>
        </w:rPr>
        <w:t>.</w:t>
      </w:r>
    </w:p>
    <w:p w:rsidR="00BC055F" w:rsidRDefault="00BC055F">
      <w:pPr>
        <w:rPr>
          <w:sz w:val="20"/>
        </w:rPr>
        <w:sectPr w:rsidR="00BC055F">
          <w:headerReference w:type="default" r:id="rId7"/>
          <w:footerReference w:type="default" r:id="rId8"/>
          <w:type w:val="continuous"/>
          <w:pgSz w:w="12240" w:h="15840"/>
          <w:pgMar w:top="900" w:right="880" w:bottom="900" w:left="900" w:header="702" w:footer="710" w:gutter="0"/>
          <w:cols w:space="720"/>
        </w:sectPr>
      </w:pPr>
    </w:p>
    <w:p w:rsidR="00BC055F" w:rsidRDefault="00F02C5C">
      <w:pPr>
        <w:pStyle w:val="ListParagraph"/>
        <w:numPr>
          <w:ilvl w:val="1"/>
          <w:numId w:val="1"/>
        </w:numPr>
        <w:tabs>
          <w:tab w:val="left" w:pos="832"/>
        </w:tabs>
        <w:spacing w:before="1"/>
        <w:ind w:left="830" w:right="108" w:hanging="362"/>
        <w:jc w:val="both"/>
        <w:rPr>
          <w:color w:val="08050A"/>
          <w:sz w:val="20"/>
        </w:rPr>
      </w:pPr>
      <w:r>
        <w:rPr>
          <w:color w:val="08050A"/>
          <w:sz w:val="20"/>
        </w:rPr>
        <w:lastRenderedPageBreak/>
        <w:t>If there has been construction, improvements or major repairs undertaken on the property to be purchased within six months prior to the Date of the Commitment, the requirements to o</w:t>
      </w:r>
      <w:r>
        <w:rPr>
          <w:color w:val="08050A"/>
          <w:sz w:val="20"/>
        </w:rPr>
        <w:t>btain coverage for unrecorded liens will include: disclosure of certain construction information; financial information as to the seller, the builder and or the contractor; payment of the appropriate premium, fully executed Indemnity Agreements satisfactor</w:t>
      </w:r>
      <w:r>
        <w:rPr>
          <w:color w:val="08050A"/>
          <w:sz w:val="20"/>
        </w:rPr>
        <w:t>y to the Company, and any additional requirements as may be necessary after an examination of the aforesaid information by the</w:t>
      </w:r>
      <w:r>
        <w:rPr>
          <w:color w:val="08050A"/>
          <w:spacing w:val="10"/>
          <w:sz w:val="20"/>
        </w:rPr>
        <w:t xml:space="preserve"> </w:t>
      </w:r>
      <w:r>
        <w:rPr>
          <w:color w:val="08050A"/>
          <w:sz w:val="20"/>
        </w:rPr>
        <w:t>Company.</w:t>
      </w:r>
    </w:p>
    <w:p w:rsidR="00BC055F" w:rsidRDefault="00BC055F">
      <w:pPr>
        <w:pStyle w:val="BodyText"/>
        <w:spacing w:before="5"/>
      </w:pPr>
    </w:p>
    <w:p w:rsidR="00BC055F" w:rsidRDefault="00F02C5C">
      <w:pPr>
        <w:pStyle w:val="BodyText"/>
        <w:ind w:left="832" w:right="90" w:hanging="3"/>
      </w:pPr>
      <w:r>
        <w:rPr>
          <w:color w:val="08050A"/>
        </w:rPr>
        <w:t>No coverage will be given under any circumstances for labor or material for which the insured has contracted for or agr</w:t>
      </w:r>
      <w:r>
        <w:rPr>
          <w:color w:val="08050A"/>
        </w:rPr>
        <w:t>eed to pay.</w:t>
      </w:r>
    </w:p>
    <w:p w:rsidR="00BC055F" w:rsidRDefault="00BC055F">
      <w:pPr>
        <w:pStyle w:val="BodyText"/>
        <w:spacing w:before="4"/>
      </w:pPr>
    </w:p>
    <w:p w:rsidR="00BC055F" w:rsidRDefault="00F02C5C">
      <w:pPr>
        <w:pStyle w:val="ListParagraph"/>
        <w:numPr>
          <w:ilvl w:val="0"/>
          <w:numId w:val="1"/>
        </w:numPr>
        <w:tabs>
          <w:tab w:val="left" w:pos="470"/>
        </w:tabs>
        <w:spacing w:line="237" w:lineRule="auto"/>
        <w:ind w:left="472" w:hanging="363"/>
        <w:jc w:val="both"/>
        <w:rPr>
          <w:sz w:val="20"/>
        </w:rPr>
      </w:pPr>
      <w:r>
        <w:rPr>
          <w:color w:val="08050A"/>
          <w:sz w:val="20"/>
        </w:rPr>
        <w:t>Pursuant to C.R.S. 38-35-125(2) no person or entity that provides closing and settlement services for a real estate transaction shall disburse funds as a part of such services until those funds have been received and are available for immediat</w:t>
      </w:r>
      <w:r>
        <w:rPr>
          <w:color w:val="08050A"/>
          <w:sz w:val="20"/>
        </w:rPr>
        <w:t>e withdrawal as a matter of</w:t>
      </w:r>
      <w:r>
        <w:rPr>
          <w:color w:val="08050A"/>
          <w:spacing w:val="34"/>
          <w:sz w:val="20"/>
        </w:rPr>
        <w:t xml:space="preserve"> </w:t>
      </w:r>
      <w:r>
        <w:rPr>
          <w:color w:val="08050A"/>
          <w:sz w:val="20"/>
        </w:rPr>
        <w:t>right.</w:t>
      </w:r>
    </w:p>
    <w:p w:rsidR="00BC055F" w:rsidRDefault="00BC055F">
      <w:pPr>
        <w:pStyle w:val="BodyText"/>
        <w:spacing w:before="3"/>
      </w:pPr>
    </w:p>
    <w:p w:rsidR="00BC055F" w:rsidRDefault="00F02C5C">
      <w:pPr>
        <w:pStyle w:val="ListParagraph"/>
        <w:numPr>
          <w:ilvl w:val="0"/>
          <w:numId w:val="1"/>
        </w:numPr>
        <w:tabs>
          <w:tab w:val="left" w:pos="470"/>
        </w:tabs>
        <w:ind w:right="110"/>
        <w:jc w:val="both"/>
        <w:rPr>
          <w:sz w:val="20"/>
        </w:rPr>
      </w:pPr>
      <w:r>
        <w:rPr>
          <w:color w:val="08050A"/>
          <w:sz w:val="20"/>
        </w:rPr>
        <w:t xml:space="preserve">C.R.S. 39-14-102 requires that a Real Property Transfer Declaration accompany any conveyance document presented for recording in the State of </w:t>
      </w:r>
      <w:r>
        <w:rPr>
          <w:color w:val="08050A"/>
          <w:spacing w:val="-3"/>
          <w:sz w:val="20"/>
        </w:rPr>
        <w:t>Colorado</w:t>
      </w:r>
      <w:r>
        <w:rPr>
          <w:color w:val="3B3B38"/>
          <w:spacing w:val="-3"/>
          <w:sz w:val="20"/>
        </w:rPr>
        <w:t xml:space="preserve">. </w:t>
      </w:r>
      <w:r>
        <w:rPr>
          <w:color w:val="08050A"/>
          <w:sz w:val="20"/>
        </w:rPr>
        <w:t>Said Declaration shall be completed and signed by either the grantor</w:t>
      </w:r>
      <w:r>
        <w:rPr>
          <w:color w:val="08050A"/>
          <w:sz w:val="20"/>
        </w:rPr>
        <w:t xml:space="preserve"> or the</w:t>
      </w:r>
      <w:r>
        <w:rPr>
          <w:color w:val="08050A"/>
          <w:spacing w:val="3"/>
          <w:sz w:val="20"/>
        </w:rPr>
        <w:t xml:space="preserve"> </w:t>
      </w:r>
      <w:r>
        <w:rPr>
          <w:color w:val="08050A"/>
          <w:sz w:val="20"/>
        </w:rPr>
        <w:t>grantee.</w:t>
      </w:r>
    </w:p>
    <w:p w:rsidR="00BC055F" w:rsidRDefault="00BC055F">
      <w:pPr>
        <w:pStyle w:val="BodyText"/>
        <w:spacing w:before="3"/>
      </w:pPr>
    </w:p>
    <w:p w:rsidR="00BC055F" w:rsidRDefault="00F02C5C">
      <w:pPr>
        <w:pStyle w:val="ListParagraph"/>
        <w:numPr>
          <w:ilvl w:val="0"/>
          <w:numId w:val="1"/>
        </w:numPr>
        <w:tabs>
          <w:tab w:val="left" w:pos="471"/>
        </w:tabs>
        <w:jc w:val="both"/>
        <w:rPr>
          <w:sz w:val="20"/>
        </w:rPr>
      </w:pPr>
      <w:r>
        <w:rPr>
          <w:color w:val="08050A"/>
          <w:sz w:val="20"/>
        </w:rPr>
        <w:t>ANTI-FRAUD STATEMENT: Pursuant to C.R.S. 10-1-128(6)(a), It is unlawful to knowingly provide false, incomplete, or misleading facts or information to an insurance company for the purpose of defrauding or attempting to defraud the company. Penalties may inc</w:t>
      </w:r>
      <w:r>
        <w:rPr>
          <w:color w:val="08050A"/>
          <w:sz w:val="20"/>
        </w:rPr>
        <w:t>lude imprisonment, fines, denial of insurance and civil damages. Any insurance company or agent of an insurance company who knowingly provides false, incomplete, or misleading facts or information to a policyholder or claimant for the purpose of defrauding</w:t>
      </w:r>
      <w:r>
        <w:rPr>
          <w:color w:val="08050A"/>
          <w:sz w:val="20"/>
        </w:rPr>
        <w:t xml:space="preserve"> or attempting to defraud the policyholder or claimant with regard to a settlement or award payable from insurance proceeds shall be reported to the Colorado Division of Insurance within the Department of</w:t>
      </w:r>
      <w:r>
        <w:rPr>
          <w:color w:val="08050A"/>
          <w:sz w:val="20"/>
        </w:rPr>
        <w:t xml:space="preserve"> Regulatory Agencies.</w:t>
      </w:r>
    </w:p>
    <w:p w:rsidR="00BC055F" w:rsidRDefault="00BC055F">
      <w:pPr>
        <w:pStyle w:val="BodyText"/>
        <w:spacing w:before="1"/>
      </w:pPr>
    </w:p>
    <w:p w:rsidR="00BC055F" w:rsidRDefault="00F02C5C">
      <w:pPr>
        <w:pStyle w:val="ListParagraph"/>
        <w:numPr>
          <w:ilvl w:val="0"/>
          <w:numId w:val="1"/>
        </w:numPr>
        <w:tabs>
          <w:tab w:val="left" w:pos="470"/>
        </w:tabs>
        <w:ind w:left="469" w:right="111"/>
        <w:jc w:val="both"/>
        <w:rPr>
          <w:sz w:val="20"/>
        </w:rPr>
      </w:pPr>
      <w:r>
        <w:rPr>
          <w:color w:val="08050A"/>
          <w:sz w:val="20"/>
        </w:rPr>
        <w:t>Pursuant to Colorado Divisio</w:t>
      </w:r>
      <w:r>
        <w:rPr>
          <w:color w:val="08050A"/>
          <w:sz w:val="20"/>
        </w:rPr>
        <w:t>n of Insurance Regulation 8-1-3, notice is hereby given that an ALTA Closing Protection Letter is available to the consumers identified in this Commitment and will be provided to</w:t>
      </w:r>
      <w:r w:rsidR="00AA0F03">
        <w:rPr>
          <w:color w:val="08050A"/>
          <w:sz w:val="20"/>
        </w:rPr>
        <w:t xml:space="preserve"> </w:t>
      </w:r>
      <w:r>
        <w:rPr>
          <w:color w:val="08050A"/>
          <w:sz w:val="20"/>
        </w:rPr>
        <w:t>said consumer upon</w:t>
      </w:r>
      <w:r>
        <w:rPr>
          <w:color w:val="08050A"/>
          <w:spacing w:val="17"/>
          <w:sz w:val="20"/>
        </w:rPr>
        <w:t xml:space="preserve"> </w:t>
      </w:r>
      <w:r>
        <w:rPr>
          <w:color w:val="08050A"/>
          <w:sz w:val="20"/>
        </w:rPr>
        <w:t>request.</w:t>
      </w:r>
    </w:p>
    <w:p w:rsidR="00BC055F" w:rsidRDefault="00BC055F">
      <w:pPr>
        <w:pStyle w:val="BodyText"/>
        <w:spacing w:before="3"/>
      </w:pPr>
    </w:p>
    <w:p w:rsidR="00BC055F" w:rsidRPr="00AA0F03" w:rsidRDefault="00F02C5C">
      <w:pPr>
        <w:pStyle w:val="ListParagraph"/>
        <w:numPr>
          <w:ilvl w:val="0"/>
          <w:numId w:val="1"/>
        </w:numPr>
        <w:tabs>
          <w:tab w:val="left" w:pos="470"/>
        </w:tabs>
        <w:ind w:right="111" w:hanging="357"/>
        <w:jc w:val="both"/>
        <w:rPr>
          <w:sz w:val="20"/>
        </w:rPr>
      </w:pPr>
      <w:r>
        <w:rPr>
          <w:color w:val="08050A"/>
          <w:sz w:val="20"/>
        </w:rPr>
        <w:t>Due to the conflict between Federal and State la</w:t>
      </w:r>
      <w:r>
        <w:rPr>
          <w:color w:val="08050A"/>
          <w:sz w:val="20"/>
        </w:rPr>
        <w:t>ws concerning the cultivation, distribution, manufacture or sale of marijuana, the Company is not able to close or insure any transaction involving Land that is associated with these</w:t>
      </w:r>
      <w:r>
        <w:rPr>
          <w:color w:val="08050A"/>
          <w:spacing w:val="3"/>
          <w:sz w:val="20"/>
        </w:rPr>
        <w:t xml:space="preserve"> </w:t>
      </w:r>
      <w:r>
        <w:rPr>
          <w:color w:val="08050A"/>
          <w:sz w:val="20"/>
        </w:rPr>
        <w:t>activities.</w:t>
      </w:r>
    </w:p>
    <w:p w:rsidR="00AA0F03" w:rsidRPr="00AA0F03" w:rsidRDefault="00AA0F03" w:rsidP="00AA0F03">
      <w:pPr>
        <w:tabs>
          <w:tab w:val="left" w:pos="470"/>
        </w:tabs>
        <w:ind w:left="110" w:right="111"/>
        <w:jc w:val="both"/>
        <w:rPr>
          <w:sz w:val="20"/>
        </w:rPr>
      </w:pPr>
    </w:p>
    <w:p w:rsidR="00AA0F03" w:rsidRDefault="00AA0F03" w:rsidP="00AA0F03">
      <w:pPr>
        <w:pStyle w:val="NormalWeb"/>
        <w:numPr>
          <w:ilvl w:val="0"/>
          <w:numId w:val="1"/>
        </w:numPr>
        <w:spacing w:before="150" w:beforeAutospacing="0" w:after="0" w:afterAutospacing="0"/>
        <w:ind w:right="150"/>
        <w:jc w:val="both"/>
        <w:rPr>
          <w:rFonts w:ascii="Calibri" w:hAnsi="Calibri" w:cs="Calibri"/>
        </w:rPr>
      </w:pPr>
      <w:r w:rsidRPr="00AA0F03">
        <w:rPr>
          <w:rFonts w:ascii="Arial" w:hAnsi="Arial" w:cs="Arial"/>
          <w:sz w:val="20"/>
          <w:szCs w:val="20"/>
        </w:rPr>
        <w:t xml:space="preserve">NOTE:  Effective May 24, 2023, the Company and its policy issuing agents are required by Federal law to collect additional information about certain transactions in specified geographic areas in accordance with the Bank Secrecy Act.  If this transaction is required to be reported under a Geographic Targeting Order issued by the Financial Crimes </w:t>
      </w:r>
      <w:bookmarkStart w:id="0" w:name="_GoBack"/>
      <w:bookmarkEnd w:id="0"/>
      <w:r w:rsidRPr="00AA0F03">
        <w:rPr>
          <w:rFonts w:ascii="Arial" w:hAnsi="Arial" w:cs="Arial"/>
          <w:sz w:val="20"/>
          <w:szCs w:val="20"/>
        </w:rPr>
        <w:t>Enforcement Network (“FinCEN”), the Company or its policy issuing agent must be supplied with a completed ALTA Information Collection Form ("ICF") prior to closing the transaction contemplated herein.  This notice pertains only to properties located in the following counties: Adams, Arapahoe, Clear Creek, Denver, Douglas, Eagle, Elbert, El Paso, Fremont, Jefferson, Mesa, Pitkin, Pueblo, and Summi</w:t>
      </w:r>
      <w:r>
        <w:rPr>
          <w:rFonts w:ascii="Calibri" w:hAnsi="Calibri" w:cs="Calibri"/>
        </w:rPr>
        <w:t>t.</w:t>
      </w:r>
    </w:p>
    <w:p w:rsidR="00AA0F03" w:rsidRPr="00AA0F03" w:rsidRDefault="00AA0F03" w:rsidP="00AA0F03">
      <w:pPr>
        <w:tabs>
          <w:tab w:val="left" w:pos="470"/>
        </w:tabs>
        <w:ind w:left="110" w:right="111"/>
        <w:jc w:val="both"/>
        <w:rPr>
          <w:sz w:val="20"/>
        </w:rPr>
      </w:pPr>
    </w:p>
    <w:p w:rsidR="00AA0F03" w:rsidRPr="00AA0F03" w:rsidRDefault="00AA0F03" w:rsidP="00AA0F03">
      <w:pPr>
        <w:tabs>
          <w:tab w:val="left" w:pos="470"/>
        </w:tabs>
        <w:ind w:right="111"/>
        <w:jc w:val="both"/>
        <w:rPr>
          <w:sz w:val="20"/>
        </w:rPr>
      </w:pPr>
    </w:p>
    <w:p w:rsidR="00BC055F" w:rsidRDefault="00BC055F">
      <w:pPr>
        <w:pStyle w:val="BodyText"/>
        <w:spacing w:before="10"/>
        <w:rPr>
          <w:sz w:val="19"/>
        </w:rPr>
      </w:pPr>
    </w:p>
    <w:p w:rsidR="00BC055F" w:rsidRDefault="00F02C5C">
      <w:pPr>
        <w:pStyle w:val="BodyText"/>
        <w:ind w:left="109" w:hanging="1"/>
      </w:pPr>
      <w:r>
        <w:rPr>
          <w:color w:val="08050A"/>
        </w:rPr>
        <w:t>NOTHING HEREIN CONTAINED WILL BE DEEMED TO OBLIGATE THE COMPANY TO PROVIDE ANY OF THE COVERAGES REFERRED TO HEREIN UNLESS THE ABOVE CONDITIONS ARE FULLY SATISFIED.</w:t>
      </w:r>
    </w:p>
    <w:sectPr w:rsidR="00BC055F">
      <w:pgSz w:w="12240" w:h="15840"/>
      <w:pgMar w:top="900" w:right="880" w:bottom="900" w:left="900" w:header="702" w:footer="7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5C" w:rsidRDefault="00F02C5C">
      <w:r>
        <w:separator/>
      </w:r>
    </w:p>
  </w:endnote>
  <w:endnote w:type="continuationSeparator" w:id="0">
    <w:p w:rsidR="00F02C5C" w:rsidRDefault="00F0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55F" w:rsidRDefault="00AA0F03">
    <w:pPr>
      <w:pStyle w:val="BodyText"/>
      <w:spacing w:line="14" w:lineRule="auto"/>
    </w:pPr>
    <w:r>
      <w:rPr>
        <w:noProof/>
      </w:rPr>
      <mc:AlternateContent>
        <mc:Choice Requires="wps">
          <w:drawing>
            <wp:anchor distT="0" distB="0" distL="114300" distR="114300" simplePos="0" relativeHeight="251570176" behindDoc="1" locked="0" layoutInCell="1" allowOverlap="1">
              <wp:simplePos x="0" y="0"/>
              <wp:positionH relativeFrom="page">
                <wp:posOffset>628650</wp:posOffset>
              </wp:positionH>
              <wp:positionV relativeFrom="page">
                <wp:posOffset>9467850</wp:posOffset>
              </wp:positionV>
              <wp:extent cx="1932305" cy="2482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55F" w:rsidRDefault="00BC055F">
                          <w:pPr>
                            <w:spacing w:before="15" w:line="254" w:lineRule="auto"/>
                            <w:ind w:left="22" w:hanging="3"/>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9.5pt;margin-top:745.5pt;width:152.15pt;height:19.5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" filled="f" stroked="f">
              <v:textbox inset="0,0,0,0">
                <w:txbxContent>
                  <w:p w:rsidR="00BC055F" w:rsidRDefault="00BC055F">
                    <w:pPr>
                      <w:spacing w:before="15" w:line="254" w:lineRule="auto"/>
                      <w:ind w:left="22" w:hanging="3"/>
                      <w:rPr>
                        <w:sz w:val="15"/>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5C" w:rsidRDefault="00F02C5C">
      <w:r>
        <w:separator/>
      </w:r>
    </w:p>
  </w:footnote>
  <w:footnote w:type="continuationSeparator" w:id="0">
    <w:p w:rsidR="00F02C5C" w:rsidRDefault="00F02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55F" w:rsidRDefault="00AA0F03">
    <w:pPr>
      <w:pStyle w:val="BodyText"/>
      <w:spacing w:line="14" w:lineRule="auto"/>
    </w:pPr>
    <w:r>
      <w:rPr>
        <w:noProof/>
      </w:rPr>
      <mc:AlternateContent>
        <mc:Choice Requires="wps">
          <w:drawing>
            <wp:anchor distT="0" distB="0" distL="114300" distR="114300" simplePos="0" relativeHeight="251569152" behindDoc="1" locked="0" layoutInCell="1" allowOverlap="1">
              <wp:simplePos x="0" y="0"/>
              <wp:positionH relativeFrom="page">
                <wp:posOffset>6140450</wp:posOffset>
              </wp:positionH>
              <wp:positionV relativeFrom="page">
                <wp:posOffset>453390</wp:posOffset>
              </wp:positionV>
              <wp:extent cx="1010285" cy="1320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55F" w:rsidRDefault="00BC055F">
                          <w:pPr>
                            <w:spacing w:before="15"/>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3.5pt;margin-top:35.7pt;width:79.55pt;height:10.4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" filled="f" stroked="f">
              <v:textbox inset="0,0,0,0">
                <w:txbxContent>
                  <w:p w:rsidR="00BC055F" w:rsidRDefault="00BC055F">
                    <w:pPr>
                      <w:spacing w:before="15"/>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30327"/>
    <w:multiLevelType w:val="hybridMultilevel"/>
    <w:tmpl w:val="206648CC"/>
    <w:lvl w:ilvl="0" w:tplc="2DC2C8F0">
      <w:start w:val="1"/>
      <w:numFmt w:val="decimal"/>
      <w:lvlText w:val="%1."/>
      <w:lvlJc w:val="left"/>
      <w:pPr>
        <w:ind w:left="468" w:hanging="358"/>
        <w:jc w:val="left"/>
      </w:pPr>
      <w:rPr>
        <w:rFonts w:ascii="Arial" w:eastAsia="Arial" w:hAnsi="Arial" w:cs="Arial" w:hint="default"/>
        <w:color w:val="08050A"/>
        <w:spacing w:val="-1"/>
        <w:w w:val="99"/>
        <w:sz w:val="20"/>
        <w:szCs w:val="20"/>
      </w:rPr>
    </w:lvl>
    <w:lvl w:ilvl="1" w:tplc="3BCEA01C">
      <w:start w:val="1"/>
      <w:numFmt w:val="upperLetter"/>
      <w:lvlText w:val="%2."/>
      <w:lvlJc w:val="left"/>
      <w:pPr>
        <w:ind w:left="832" w:hanging="363"/>
        <w:jc w:val="left"/>
      </w:pPr>
      <w:rPr>
        <w:rFonts w:hint="default"/>
        <w:spacing w:val="-1"/>
        <w:w w:val="97"/>
      </w:rPr>
    </w:lvl>
    <w:lvl w:ilvl="2" w:tplc="E5C0756A">
      <w:numFmt w:val="bullet"/>
      <w:lvlText w:val="•"/>
      <w:lvlJc w:val="left"/>
      <w:pPr>
        <w:ind w:left="840" w:hanging="363"/>
      </w:pPr>
      <w:rPr>
        <w:rFonts w:hint="default"/>
      </w:rPr>
    </w:lvl>
    <w:lvl w:ilvl="3" w:tplc="E23805CE">
      <w:numFmt w:val="bullet"/>
      <w:lvlText w:val="•"/>
      <w:lvlJc w:val="left"/>
      <w:pPr>
        <w:ind w:left="2042" w:hanging="363"/>
      </w:pPr>
      <w:rPr>
        <w:rFonts w:hint="default"/>
      </w:rPr>
    </w:lvl>
    <w:lvl w:ilvl="4" w:tplc="034235F6">
      <w:numFmt w:val="bullet"/>
      <w:lvlText w:val="•"/>
      <w:lvlJc w:val="left"/>
      <w:pPr>
        <w:ind w:left="3245" w:hanging="363"/>
      </w:pPr>
      <w:rPr>
        <w:rFonts w:hint="default"/>
      </w:rPr>
    </w:lvl>
    <w:lvl w:ilvl="5" w:tplc="6EC01766">
      <w:numFmt w:val="bullet"/>
      <w:lvlText w:val="•"/>
      <w:lvlJc w:val="left"/>
      <w:pPr>
        <w:ind w:left="4447" w:hanging="363"/>
      </w:pPr>
      <w:rPr>
        <w:rFonts w:hint="default"/>
      </w:rPr>
    </w:lvl>
    <w:lvl w:ilvl="6" w:tplc="E736B538">
      <w:numFmt w:val="bullet"/>
      <w:lvlText w:val="•"/>
      <w:lvlJc w:val="left"/>
      <w:pPr>
        <w:ind w:left="5650" w:hanging="363"/>
      </w:pPr>
      <w:rPr>
        <w:rFonts w:hint="default"/>
      </w:rPr>
    </w:lvl>
    <w:lvl w:ilvl="7" w:tplc="D2442240">
      <w:numFmt w:val="bullet"/>
      <w:lvlText w:val="•"/>
      <w:lvlJc w:val="left"/>
      <w:pPr>
        <w:ind w:left="6852" w:hanging="363"/>
      </w:pPr>
      <w:rPr>
        <w:rFonts w:hint="default"/>
      </w:rPr>
    </w:lvl>
    <w:lvl w:ilvl="8" w:tplc="6C3E0A1E">
      <w:numFmt w:val="bullet"/>
      <w:lvlText w:val="•"/>
      <w:lvlJc w:val="left"/>
      <w:pPr>
        <w:ind w:left="8055" w:hanging="36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6"/>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55F"/>
    <w:rsid w:val="00AA0F03"/>
    <w:rsid w:val="00BC055F"/>
    <w:rsid w:val="00F02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2C41E8-7D1A-46D8-B1FF-A7B75661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68" w:right="109" w:hanging="35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A0F03"/>
    <w:pPr>
      <w:tabs>
        <w:tab w:val="center" w:pos="4680"/>
        <w:tab w:val="right" w:pos="9360"/>
      </w:tabs>
    </w:pPr>
  </w:style>
  <w:style w:type="character" w:customStyle="1" w:styleId="HeaderChar">
    <w:name w:val="Header Char"/>
    <w:basedOn w:val="DefaultParagraphFont"/>
    <w:link w:val="Header"/>
    <w:uiPriority w:val="99"/>
    <w:rsid w:val="00AA0F03"/>
    <w:rPr>
      <w:rFonts w:ascii="Arial" w:eastAsia="Arial" w:hAnsi="Arial" w:cs="Arial"/>
    </w:rPr>
  </w:style>
  <w:style w:type="paragraph" w:styleId="Footer">
    <w:name w:val="footer"/>
    <w:basedOn w:val="Normal"/>
    <w:link w:val="FooterChar"/>
    <w:uiPriority w:val="99"/>
    <w:unhideWhenUsed/>
    <w:rsid w:val="00AA0F03"/>
    <w:pPr>
      <w:tabs>
        <w:tab w:val="center" w:pos="4680"/>
        <w:tab w:val="right" w:pos="9360"/>
      </w:tabs>
    </w:pPr>
  </w:style>
  <w:style w:type="character" w:customStyle="1" w:styleId="FooterChar">
    <w:name w:val="Footer Char"/>
    <w:basedOn w:val="DefaultParagraphFont"/>
    <w:link w:val="Footer"/>
    <w:uiPriority w:val="99"/>
    <w:rsid w:val="00AA0F03"/>
    <w:rPr>
      <w:rFonts w:ascii="Arial" w:eastAsia="Arial" w:hAnsi="Arial" w:cs="Arial"/>
    </w:rPr>
  </w:style>
  <w:style w:type="paragraph" w:styleId="NormalWeb">
    <w:name w:val="Normal (Web)"/>
    <w:basedOn w:val="Normal"/>
    <w:uiPriority w:val="99"/>
    <w:semiHidden/>
    <w:unhideWhenUsed/>
    <w:rsid w:val="00AA0F03"/>
    <w:pPr>
      <w:widowControl/>
      <w:autoSpaceDE/>
      <w:autoSpaceDN/>
      <w:spacing w:before="100" w:beforeAutospacing="1" w:after="100" w:afterAutospacing="1"/>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731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ALTA Commitment - REV 1.pdf</vt:lpstr>
    </vt:vector>
  </TitlesOfParts>
  <Company>williston</Company>
  <LinksUpToDate>false</LinksUpToDate>
  <CharactersWithSpaces>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ALTA Commitment - REV 1.pdf</dc:title>
  <dc:creator>DuaneMartin</dc:creator>
  <cp:lastModifiedBy>Debbie Thoms</cp:lastModifiedBy>
  <cp:revision>2</cp:revision>
  <dcterms:created xsi:type="dcterms:W3CDTF">2023-05-30T18:35:00Z</dcterms:created>
  <dcterms:modified xsi:type="dcterms:W3CDTF">2023-05-30T18:35:00Z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LastSaved">
    <vt:filetime>2023-05-30T00:00:00Z</vt:filetime>
  </property>
</Properties>
</file>